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DF53" w14:textId="7C2F7F01" w:rsidR="00FD4383" w:rsidRPr="00705610" w:rsidRDefault="00FD4383">
      <w:pPr>
        <w:rPr>
          <w:b/>
          <w:bCs/>
        </w:rPr>
      </w:pPr>
      <w:r w:rsidRPr="00705610">
        <w:rPr>
          <w:b/>
          <w:bCs/>
        </w:rPr>
        <w:t>L</w:t>
      </w:r>
      <w:r w:rsidR="00F70E44" w:rsidRPr="00705610">
        <w:rPr>
          <w:b/>
          <w:bCs/>
        </w:rPr>
        <w:t>I</w:t>
      </w:r>
      <w:r w:rsidRPr="00705610">
        <w:rPr>
          <w:b/>
          <w:bCs/>
        </w:rPr>
        <w:t>NEAS TRANSVERSALES</w:t>
      </w:r>
    </w:p>
    <w:p w14:paraId="45283C3B" w14:textId="0DA8DB39" w:rsidR="00A30700" w:rsidRDefault="00A30700" w:rsidP="00C2628F">
      <w:pPr>
        <w:pStyle w:val="Prrafodelista"/>
        <w:numPr>
          <w:ilvl w:val="0"/>
          <w:numId w:val="3"/>
        </w:numPr>
        <w:shd w:val="clear" w:color="auto" w:fill="FFFFFF"/>
        <w:spacing w:after="300" w:line="398" w:lineRule="atLeast"/>
        <w:jc w:val="both"/>
        <w:textAlignment w:val="baseline"/>
      </w:pPr>
      <w:r>
        <w:t>Derecho Humano</w:t>
      </w:r>
      <w:r w:rsidR="00DE7944">
        <w:t xml:space="preserve">, </w:t>
      </w:r>
      <w:r w:rsidR="00C2628F" w:rsidRPr="00C644B7">
        <w:t>El agua es un derecho humano universal inviolable e inalienable</w:t>
      </w:r>
      <w:r w:rsidR="00C2628F">
        <w:t>, reconocido en Asamblea General de Naciones Unidas en el año 2010</w:t>
      </w:r>
      <w:r w:rsidR="00C2628F">
        <w:t xml:space="preserve"> y </w:t>
      </w:r>
      <w:r w:rsidR="00C2628F">
        <w:t>en el año 2015</w:t>
      </w:r>
      <w:r w:rsidR="00C2628F">
        <w:t xml:space="preserve"> en</w:t>
      </w:r>
      <w:r w:rsidR="00C2628F">
        <w:t xml:space="preserve"> una nueva Asamblea General de Naciones Unidas </w:t>
      </w:r>
      <w:r w:rsidR="00C2628F">
        <w:t xml:space="preserve">se </w:t>
      </w:r>
      <w:r w:rsidR="00C2628F">
        <w:t>reconoce el Derecho Humano al Saneamiento como un derecho independiente del Derecho Humano al Agua</w:t>
      </w:r>
      <w:r w:rsidR="00C2628F">
        <w:t>, e</w:t>
      </w:r>
      <w:r w:rsidR="00C2628F">
        <w:t xml:space="preserve">n los dos las administraciones competentes </w:t>
      </w:r>
      <w:r w:rsidR="00C2628F">
        <w:t xml:space="preserve">(ayuntamientos) </w:t>
      </w:r>
      <w:r w:rsidR="00C2628F">
        <w:t>deben garantizar</w:t>
      </w:r>
      <w:r w:rsidR="00C2628F">
        <w:t>lo.</w:t>
      </w:r>
    </w:p>
    <w:p w14:paraId="21EECCCF" w14:textId="77777777" w:rsidR="00C2628F" w:rsidRDefault="00C2628F" w:rsidP="00C2628F">
      <w:pPr>
        <w:pStyle w:val="Prrafodelista"/>
        <w:shd w:val="clear" w:color="auto" w:fill="FFFFFF"/>
        <w:spacing w:after="300" w:line="398" w:lineRule="atLeast"/>
        <w:jc w:val="both"/>
        <w:textAlignment w:val="baseline"/>
      </w:pPr>
    </w:p>
    <w:p w14:paraId="4F34CD22" w14:textId="10205A98" w:rsidR="0064429E" w:rsidRDefault="00FD4383" w:rsidP="00367050">
      <w:pPr>
        <w:pStyle w:val="Prrafodelista"/>
        <w:numPr>
          <w:ilvl w:val="0"/>
          <w:numId w:val="3"/>
        </w:numPr>
      </w:pPr>
      <w:r>
        <w:t>Triple balance de la sostenibilidad</w:t>
      </w:r>
      <w:r w:rsidR="00F70E44">
        <w:t xml:space="preserve"> – Tres esferas</w:t>
      </w:r>
      <w:r>
        <w:t xml:space="preserve">: </w:t>
      </w:r>
    </w:p>
    <w:p w14:paraId="4440231B" w14:textId="77777777" w:rsidR="00811C82" w:rsidRDefault="00811C82" w:rsidP="00811C82">
      <w:pPr>
        <w:pStyle w:val="Prrafodelista"/>
      </w:pPr>
    </w:p>
    <w:p w14:paraId="1908B22F" w14:textId="77777777" w:rsidR="00811C82" w:rsidRDefault="00811C82" w:rsidP="00811C82">
      <w:pPr>
        <w:pStyle w:val="Prrafodelista"/>
        <w:numPr>
          <w:ilvl w:val="1"/>
          <w:numId w:val="6"/>
        </w:numPr>
      </w:pPr>
      <w:r>
        <w:t>Sostenibilidad social: bienestar comunidad, cooperación, organización social, participación.</w:t>
      </w:r>
    </w:p>
    <w:p w14:paraId="7DA87B47" w14:textId="77777777" w:rsidR="00811C82" w:rsidRDefault="00811C82" w:rsidP="00811C82">
      <w:pPr>
        <w:pStyle w:val="Prrafodelista"/>
        <w:numPr>
          <w:ilvl w:val="1"/>
          <w:numId w:val="6"/>
        </w:numPr>
      </w:pPr>
      <w:r>
        <w:t>Sostenibilidad ecológica: Preservación de los ecosistemas, impactos a futuro, comprometer recursos del futuro.</w:t>
      </w:r>
    </w:p>
    <w:p w14:paraId="438E5A90" w14:textId="77777777" w:rsidR="00811C82" w:rsidRDefault="00811C82" w:rsidP="00811C82">
      <w:pPr>
        <w:pStyle w:val="Prrafodelista"/>
        <w:numPr>
          <w:ilvl w:val="1"/>
          <w:numId w:val="6"/>
        </w:numPr>
      </w:pPr>
      <w:r>
        <w:t>Sostenibilidad económica: modelo no empobrecimiento ni crecimiento infinito.</w:t>
      </w:r>
    </w:p>
    <w:p w14:paraId="25110565" w14:textId="77777777" w:rsidR="00811C82" w:rsidRDefault="00811C82" w:rsidP="00811C82">
      <w:pPr>
        <w:pStyle w:val="Prrafodelista"/>
      </w:pPr>
    </w:p>
    <w:p w14:paraId="756ACF29" w14:textId="362EA6B1" w:rsidR="00367050" w:rsidRPr="00367050" w:rsidRDefault="00367050" w:rsidP="00367050">
      <w:pPr>
        <w:pStyle w:val="Prrafodelista"/>
        <w:rPr>
          <w:i/>
          <w:iCs/>
        </w:rPr>
      </w:pPr>
      <w:r w:rsidRPr="00367050">
        <w:rPr>
          <w:i/>
          <w:iCs/>
        </w:rPr>
        <w:t>El camino hacia la sostenibilidad, en materia de aguas, pasa por considerar nuestra condición de usufructuarios de un patrimonio hídrico natural que debemos conservar y proteger para garantizar su disfrute a generaciones venideras</w:t>
      </w:r>
      <w:r>
        <w:rPr>
          <w:rStyle w:val="Refdenotaalpie"/>
          <w:i/>
          <w:iCs/>
        </w:rPr>
        <w:footnoteReference w:id="1"/>
      </w:r>
      <w:r w:rsidRPr="00367050">
        <w:rPr>
          <w:i/>
          <w:iCs/>
        </w:rPr>
        <w:t>.</w:t>
      </w:r>
    </w:p>
    <w:p w14:paraId="7CD01CA0" w14:textId="77777777" w:rsidR="00811C82" w:rsidRDefault="00811C82" w:rsidP="00367050">
      <w:pPr>
        <w:pStyle w:val="Prrafodelista"/>
      </w:pPr>
    </w:p>
    <w:p w14:paraId="09C58DE2" w14:textId="2A21EB3C" w:rsidR="00367050" w:rsidRDefault="00616B36" w:rsidP="00367050">
      <w:pPr>
        <w:pStyle w:val="Prrafodelista"/>
      </w:pPr>
      <w:r>
        <w:t xml:space="preserve">La Directiva Marco del Agua </w:t>
      </w:r>
      <w:r w:rsidR="00C66EA6">
        <w:t>(DMA) en el año 2000</w:t>
      </w:r>
      <w:r w:rsidR="00BA4BA2">
        <w:t xml:space="preserve"> </w:t>
      </w:r>
      <w:r>
        <w:t xml:space="preserve">aborda de forma consistente </w:t>
      </w:r>
      <w:r w:rsidR="00EC0676">
        <w:t>la gestión desde el paradigma de la sostenibilidad</w:t>
      </w:r>
      <w:r w:rsidR="00811C82">
        <w:t xml:space="preserve">, bajo </w:t>
      </w:r>
      <w:r w:rsidR="00525990">
        <w:t>cinco</w:t>
      </w:r>
      <w:r w:rsidR="00811C82">
        <w:t xml:space="preserve"> principios: principio de la sostenibilidad, principio de racionalidad económica, principio de precaución y adaptación, principio de no deterioro y principio de gestión participativa.  </w:t>
      </w:r>
      <w:r w:rsidR="00EC0676">
        <w:t xml:space="preserve"> </w:t>
      </w:r>
      <w:r>
        <w:t xml:space="preserve"> </w:t>
      </w:r>
    </w:p>
    <w:p w14:paraId="38962478" w14:textId="77777777" w:rsidR="00811C82" w:rsidRDefault="00811C82" w:rsidP="00367050">
      <w:pPr>
        <w:pStyle w:val="Prrafodelista"/>
      </w:pPr>
    </w:p>
    <w:p w14:paraId="367DAFA1" w14:textId="40320AAD" w:rsidR="00FD4383" w:rsidRDefault="00A84B40" w:rsidP="00367050">
      <w:pPr>
        <w:pStyle w:val="Prrafodelista"/>
        <w:numPr>
          <w:ilvl w:val="0"/>
          <w:numId w:val="3"/>
        </w:numPr>
      </w:pPr>
      <w:r>
        <w:t>Cambio climático:</w:t>
      </w:r>
    </w:p>
    <w:p w14:paraId="5AD07892" w14:textId="63C39AD5" w:rsidR="00A84B40" w:rsidRDefault="00DE7944" w:rsidP="00A84B40">
      <w:pPr>
        <w:pStyle w:val="Prrafodelista"/>
      </w:pPr>
      <w:r>
        <w:t xml:space="preserve">El agua es el recurso natural clave para la vida en nuestro planeta y sin embargo es un recurso frágil y amenazado por el evidente cambio climático. </w:t>
      </w:r>
      <w:r w:rsidR="00A84B40">
        <w:t>A</w:t>
      </w:r>
      <w:r w:rsidR="00CF2399">
        <w:t xml:space="preserve">nte el aumento de eventos </w:t>
      </w:r>
      <w:r w:rsidR="00A84B40">
        <w:t xml:space="preserve">extremos </w:t>
      </w:r>
      <w:r w:rsidR="00C66EA6">
        <w:t>(</w:t>
      </w:r>
      <w:r w:rsidR="00A84B40">
        <w:t>sequias e inundaciones</w:t>
      </w:r>
      <w:r w:rsidR="00C66EA6">
        <w:t>)</w:t>
      </w:r>
      <w:r w:rsidR="00CF2399">
        <w:t xml:space="preserve">, la planificación </w:t>
      </w:r>
      <w:r w:rsidR="00C66EA6">
        <w:t>hidrológica</w:t>
      </w:r>
      <w:r w:rsidR="00CF2399">
        <w:t xml:space="preserve"> </w:t>
      </w:r>
      <w:r w:rsidR="00C66EA6">
        <w:t>está</w:t>
      </w:r>
      <w:r w:rsidR="00CF2399">
        <w:t xml:space="preserve"> adaptando nuevos modelos que permiten </w:t>
      </w:r>
      <w:r w:rsidR="00C66EA6">
        <w:t>considerar los efectos del cambio climático en las previsiones futuras del recurso</w:t>
      </w:r>
      <w:r w:rsidR="00A84B40">
        <w:t>.</w:t>
      </w:r>
      <w:r w:rsidR="0014707D">
        <w:t xml:space="preserve"> (DMA, principio de precaución y adaptación)</w:t>
      </w:r>
    </w:p>
    <w:p w14:paraId="2B1D3C3B" w14:textId="77777777" w:rsidR="00811C82" w:rsidRDefault="00811C82" w:rsidP="00A84B40">
      <w:pPr>
        <w:pStyle w:val="Prrafodelista"/>
      </w:pPr>
    </w:p>
    <w:p w14:paraId="6BBEB76D" w14:textId="15A1C8C0" w:rsidR="00A84B40" w:rsidRDefault="00A84B40" w:rsidP="00367050">
      <w:pPr>
        <w:pStyle w:val="Prrafodelista"/>
        <w:numPr>
          <w:ilvl w:val="0"/>
          <w:numId w:val="3"/>
        </w:numPr>
      </w:pPr>
      <w:r>
        <w:t>Genero</w:t>
      </w:r>
      <w:r w:rsidR="000F3AA5">
        <w:t xml:space="preserve"> – Feminismo:</w:t>
      </w:r>
    </w:p>
    <w:p w14:paraId="7A9F2006" w14:textId="78C542A8" w:rsidR="000F3AA5" w:rsidRDefault="00C66EA6" w:rsidP="00C66EA6">
      <w:pPr>
        <w:ind w:left="708"/>
      </w:pPr>
      <w:r>
        <w:t xml:space="preserve">Desde la esfera </w:t>
      </w:r>
      <w:r w:rsidR="00C2628F">
        <w:t>más</w:t>
      </w:r>
      <w:r>
        <w:t xml:space="preserve"> alta donde se gestiona y se toman las decisiones que involucran el agua y su relación con la vida hay un sector de la sociedad que ha estado históricamente fuera, lo que no ha permitido</w:t>
      </w:r>
      <w:r w:rsidR="000F3AA5">
        <w:t xml:space="preserve"> visibiliza</w:t>
      </w:r>
      <w:r w:rsidR="001123F6">
        <w:t>r</w:t>
      </w:r>
      <w:r>
        <w:t xml:space="preserve"> todas las realidades</w:t>
      </w:r>
      <w:r w:rsidR="000F3AA5">
        <w:t>.</w:t>
      </w:r>
      <w:r w:rsidR="00217383">
        <w:t xml:space="preserve"> (DMA no aborda el tema. Poca bibliografía</w:t>
      </w:r>
      <w:r w:rsidR="00C2628F">
        <w:t xml:space="preserve"> al respecto</w:t>
      </w:r>
      <w:r w:rsidR="00217383">
        <w:t>)</w:t>
      </w:r>
    </w:p>
    <w:p w14:paraId="31561DDC" w14:textId="429B0DE8" w:rsidR="002213EE" w:rsidRDefault="002213EE" w:rsidP="00A84B40"/>
    <w:p w14:paraId="51716641" w14:textId="066CB7D0" w:rsidR="00C2628F" w:rsidRDefault="00C2628F" w:rsidP="00A84B40"/>
    <w:p w14:paraId="13D46521" w14:textId="77777777" w:rsidR="00C2628F" w:rsidRDefault="00C2628F" w:rsidP="00A84B40"/>
    <w:p w14:paraId="5C396B8C" w14:textId="5687C324" w:rsidR="000F3AA5" w:rsidRPr="00705610" w:rsidRDefault="000F3AA5" w:rsidP="00A84B40">
      <w:pPr>
        <w:rPr>
          <w:b/>
          <w:bCs/>
        </w:rPr>
      </w:pPr>
      <w:r w:rsidRPr="00705610">
        <w:rPr>
          <w:b/>
          <w:bCs/>
        </w:rPr>
        <w:lastRenderedPageBreak/>
        <w:t>MENU</w:t>
      </w:r>
    </w:p>
    <w:p w14:paraId="3ABC26DE" w14:textId="3A3EA090" w:rsidR="000F3AA5" w:rsidRDefault="000F3AA5" w:rsidP="00C2628F">
      <w:pPr>
        <w:pStyle w:val="Prrafodelista"/>
        <w:numPr>
          <w:ilvl w:val="0"/>
          <w:numId w:val="8"/>
        </w:numPr>
      </w:pPr>
      <w:r>
        <w:t xml:space="preserve">Agua Vida: </w:t>
      </w:r>
      <w:r w:rsidR="001123F6">
        <w:t xml:space="preserve">El agua es un recurso </w:t>
      </w:r>
      <w:r w:rsidR="00B54261">
        <w:t>esencial</w:t>
      </w:r>
      <w:r w:rsidR="001123F6">
        <w:t xml:space="preserve"> para todas las formas de v</w:t>
      </w:r>
      <w:r w:rsidR="00A30700">
        <w:t xml:space="preserve">ida </w:t>
      </w:r>
      <w:r w:rsidR="001123F6">
        <w:t xml:space="preserve">en nuestro planeta. </w:t>
      </w:r>
      <w:r w:rsidR="00B54261">
        <w:t>Hay una r</w:t>
      </w:r>
      <w:r w:rsidR="002213EE">
        <w:t xml:space="preserve">elación directa entre </w:t>
      </w:r>
      <w:r w:rsidR="00B54261">
        <w:t xml:space="preserve">los </w:t>
      </w:r>
      <w:r w:rsidR="00E16120">
        <w:t>ecosistemas y</w:t>
      </w:r>
      <w:r w:rsidR="00B54261">
        <w:t xml:space="preserve"> los s</w:t>
      </w:r>
      <w:r w:rsidR="000B7263">
        <w:t>er</w:t>
      </w:r>
      <w:r w:rsidR="00B54261">
        <w:t>es</w:t>
      </w:r>
      <w:r w:rsidR="000B7263">
        <w:t xml:space="preserve"> humano</w:t>
      </w:r>
      <w:r w:rsidR="00E16120">
        <w:t>s</w:t>
      </w:r>
      <w:r w:rsidR="000B7263">
        <w:t>.</w:t>
      </w:r>
      <w:r w:rsidR="00B54261">
        <w:t xml:space="preserve"> Con ecosistemas sin agua o en mal estado las personas que habitamos este planeta no podemos obtener un recurso esencial para la vida.</w:t>
      </w:r>
    </w:p>
    <w:p w14:paraId="76996CDD" w14:textId="77777777" w:rsidR="00C2628F" w:rsidRDefault="00C2628F" w:rsidP="00C2628F">
      <w:pPr>
        <w:pStyle w:val="Prrafodelista"/>
      </w:pPr>
    </w:p>
    <w:p w14:paraId="1C68A178" w14:textId="233935F2" w:rsidR="000F3AA5" w:rsidRDefault="000F3AA5" w:rsidP="00E16120">
      <w:pPr>
        <w:pStyle w:val="Prrafodelista"/>
        <w:numPr>
          <w:ilvl w:val="0"/>
          <w:numId w:val="8"/>
        </w:numPr>
      </w:pPr>
      <w:r>
        <w:t xml:space="preserve">Agua Muerte: </w:t>
      </w:r>
      <w:r w:rsidR="00E16120">
        <w:t>En el contrasentido de la esencia del agua, esta también la muerte: en los l</w:t>
      </w:r>
      <w:r>
        <w:t xml:space="preserve">ugares sin agua, </w:t>
      </w:r>
      <w:r w:rsidR="00E16120">
        <w:t xml:space="preserve">en los </w:t>
      </w:r>
      <w:r>
        <w:t xml:space="preserve">lugares insalubres, </w:t>
      </w:r>
      <w:r w:rsidR="00E16120">
        <w:t xml:space="preserve">en las </w:t>
      </w:r>
      <w:r w:rsidR="00217383">
        <w:t xml:space="preserve">líneas </w:t>
      </w:r>
      <w:r w:rsidR="00E16120">
        <w:t xml:space="preserve">de </w:t>
      </w:r>
      <w:r w:rsidR="00217383">
        <w:t>frontera</w:t>
      </w:r>
      <w:r w:rsidR="00A30700">
        <w:t xml:space="preserve"> (</w:t>
      </w:r>
      <w:r w:rsidR="00E16120">
        <w:t>migración,</w:t>
      </w:r>
      <w:r w:rsidR="00A30700">
        <w:t xml:space="preserve"> por ejemplo: Mediterraneo, frontera Mexico – EEUU), </w:t>
      </w:r>
      <w:r w:rsidR="00E16120">
        <w:t xml:space="preserve">en la </w:t>
      </w:r>
      <w:r w:rsidR="00A30700">
        <w:t xml:space="preserve">resolución </w:t>
      </w:r>
      <w:r w:rsidR="00E16120">
        <w:t xml:space="preserve">a un </w:t>
      </w:r>
      <w:r w:rsidR="00A30700">
        <w:t xml:space="preserve">conflicto ambiental con </w:t>
      </w:r>
      <w:r w:rsidR="00E16120">
        <w:t xml:space="preserve">la </w:t>
      </w:r>
      <w:r w:rsidR="00A30700">
        <w:t>muerte de a</w:t>
      </w:r>
      <w:r w:rsidR="00E16120">
        <w:t>ctivistas y donde el agua ejerce toda su fuerza</w:t>
      </w:r>
      <w:r w:rsidR="00657617">
        <w:t xml:space="preserve"> en los f</w:t>
      </w:r>
      <w:r w:rsidR="00B10A45">
        <w:t>enómenos naturales. Torturas.</w:t>
      </w:r>
    </w:p>
    <w:p w14:paraId="56D0BEFF" w14:textId="77777777" w:rsidR="00C2628F" w:rsidRDefault="00C2628F" w:rsidP="00C2628F">
      <w:pPr>
        <w:pStyle w:val="Prrafodelista"/>
      </w:pPr>
    </w:p>
    <w:p w14:paraId="329C5580" w14:textId="32E33540" w:rsidR="000F3AA5" w:rsidRDefault="000F3AA5" w:rsidP="00C2628F">
      <w:pPr>
        <w:pStyle w:val="Prrafodelista"/>
        <w:numPr>
          <w:ilvl w:val="0"/>
          <w:numId w:val="8"/>
        </w:numPr>
      </w:pPr>
      <w:r>
        <w:t>Agua Territorio</w:t>
      </w:r>
      <w:r w:rsidR="000B7263">
        <w:t xml:space="preserve">: </w:t>
      </w:r>
      <w:r w:rsidR="00657617">
        <w:t>El agua siempre vinculada al territorio (modelos de ciudad), partiendo desde un m</w:t>
      </w:r>
      <w:r w:rsidR="000B7263">
        <w:t>odelo de gestión de lo</w:t>
      </w:r>
      <w:r w:rsidR="00657617">
        <w:t>s recursos</w:t>
      </w:r>
      <w:r w:rsidR="000B7263">
        <w:t xml:space="preserve"> local</w:t>
      </w:r>
      <w:r w:rsidR="00657617">
        <w:t>es</w:t>
      </w:r>
      <w:r w:rsidR="000B7263">
        <w:t xml:space="preserve"> a </w:t>
      </w:r>
      <w:r w:rsidR="00657617">
        <w:t>una gestión</w:t>
      </w:r>
      <w:r w:rsidR="000B7263">
        <w:t xml:space="preserve"> global (agua virtual, huella hídrica)</w:t>
      </w:r>
      <w:r w:rsidR="00657617">
        <w:t>. La gestión</w:t>
      </w:r>
      <w:r w:rsidR="000B7263">
        <w:t xml:space="preserve"> del recurso </w:t>
      </w:r>
      <w:r w:rsidR="00657617">
        <w:t xml:space="preserve">de abastecimiento de agua potable ha ido cambiando </w:t>
      </w:r>
      <w:r w:rsidR="000B7263">
        <w:t xml:space="preserve">desde </w:t>
      </w:r>
      <w:r w:rsidR="00657617">
        <w:t>un modelo que debe responder a una</w:t>
      </w:r>
      <w:r w:rsidR="000B7263">
        <w:t xml:space="preserve"> demanda </w:t>
      </w:r>
      <w:r w:rsidR="00657617">
        <w:t xml:space="preserve">incuestionable a un modelo que gestiona primero la demanda según el recurso disponible. </w:t>
      </w:r>
    </w:p>
    <w:p w14:paraId="20E858EE" w14:textId="77777777" w:rsidR="00C2628F" w:rsidRDefault="00C2628F" w:rsidP="00C2628F">
      <w:pPr>
        <w:pStyle w:val="Prrafodelista"/>
      </w:pPr>
    </w:p>
    <w:p w14:paraId="01B7B391" w14:textId="77777777" w:rsidR="00E80A70" w:rsidRDefault="000F3AA5" w:rsidP="002E0E72">
      <w:pPr>
        <w:pStyle w:val="Prrafodelista"/>
        <w:numPr>
          <w:ilvl w:val="0"/>
          <w:numId w:val="8"/>
        </w:numPr>
      </w:pPr>
      <w:r>
        <w:t>Agua Poder</w:t>
      </w:r>
      <w:r w:rsidR="00A30700">
        <w:t xml:space="preserve">: </w:t>
      </w:r>
      <w:r w:rsidR="002E0E72">
        <w:t xml:space="preserve">El agua también es un elemento de poder y control del territorio y en esa tensión </w:t>
      </w:r>
      <w:r w:rsidR="00E80A70">
        <w:t>surge</w:t>
      </w:r>
      <w:r w:rsidR="002E0E72">
        <w:t xml:space="preserve"> qui</w:t>
      </w:r>
      <w:r w:rsidR="00E80A70">
        <w:t>e</w:t>
      </w:r>
      <w:r w:rsidR="002E0E72">
        <w:t xml:space="preserve">n y bajo que modelo </w:t>
      </w:r>
      <w:r w:rsidR="00E80A70">
        <w:t xml:space="preserve">gestionar el recurso, </w:t>
      </w:r>
      <w:r w:rsidR="002E0E72">
        <w:t xml:space="preserve">se </w:t>
      </w:r>
      <w:r w:rsidR="002E0E72">
        <w:t xml:space="preserve">confrontan </w:t>
      </w:r>
      <w:r w:rsidR="00E80A70">
        <w:t xml:space="preserve">entonces </w:t>
      </w:r>
      <w:r w:rsidR="002E0E72">
        <w:t xml:space="preserve">intereses económicos con </w:t>
      </w:r>
      <w:r w:rsidR="00E80A70">
        <w:t>intereses comunes.</w:t>
      </w:r>
      <w:r w:rsidR="002E0E72">
        <w:t xml:space="preserve"> ¿Quién</w:t>
      </w:r>
      <w:r w:rsidR="00705610">
        <w:t xml:space="preserve"> y bajo que modelo se gestiona </w:t>
      </w:r>
      <w:r w:rsidR="002E0E72">
        <w:t>un derecho humano?</w:t>
      </w:r>
      <w:r w:rsidR="00705610">
        <w:t xml:space="preserve"> (</w:t>
      </w:r>
      <w:r w:rsidR="00086C0A">
        <w:t>público</w:t>
      </w:r>
      <w:r w:rsidR="00705610">
        <w:t xml:space="preserve"> </w:t>
      </w:r>
      <w:r w:rsidR="002E0E72">
        <w:t>vs</w:t>
      </w:r>
      <w:r w:rsidR="00705610">
        <w:t xml:space="preserve"> privado). </w:t>
      </w:r>
    </w:p>
    <w:p w14:paraId="7F7083D5" w14:textId="77777777" w:rsidR="00E80A70" w:rsidRDefault="00E80A70" w:rsidP="00E80A70">
      <w:pPr>
        <w:pStyle w:val="Prrafodelista"/>
      </w:pPr>
    </w:p>
    <w:p w14:paraId="16AD1F06" w14:textId="7B081FC5" w:rsidR="00C2628F" w:rsidRDefault="00705610" w:rsidP="00E80A70">
      <w:pPr>
        <w:pStyle w:val="Prrafodelista"/>
      </w:pPr>
      <w:r>
        <w:t xml:space="preserve"> </w:t>
      </w:r>
    </w:p>
    <w:p w14:paraId="0854CD43" w14:textId="486138A1" w:rsidR="000F3AA5" w:rsidRDefault="000F3AA5" w:rsidP="00C2628F">
      <w:pPr>
        <w:pStyle w:val="Prrafodelista"/>
        <w:numPr>
          <w:ilvl w:val="0"/>
          <w:numId w:val="8"/>
        </w:numPr>
      </w:pPr>
      <w:r>
        <w:t>Agua tradición</w:t>
      </w:r>
      <w:r w:rsidR="002213EE">
        <w:t>:</w:t>
      </w:r>
      <w:r w:rsidR="00705610">
        <w:t xml:space="preserve"> </w:t>
      </w:r>
      <w:r w:rsidR="00E80A70">
        <w:t>C</w:t>
      </w:r>
      <w:r w:rsidR="00705610">
        <w:t>ada lugar ha aprendido desde su biodiversidad</w:t>
      </w:r>
      <w:r w:rsidR="00E80A70">
        <w:t xml:space="preserve"> desde su singularidad </w:t>
      </w:r>
      <w:r w:rsidR="00705610">
        <w:t>a gestionar u</w:t>
      </w:r>
      <w:r w:rsidR="00E80A70">
        <w:t>n</w:t>
      </w:r>
      <w:r w:rsidR="00705610">
        <w:t xml:space="preserve"> recurso</w:t>
      </w:r>
      <w:r w:rsidR="00E80A70">
        <w:t xml:space="preserve"> esencial para la vida, </w:t>
      </w:r>
      <w:r w:rsidR="00FB5B9E">
        <w:t>hay una sabiduría</w:t>
      </w:r>
      <w:r w:rsidR="00E80A70">
        <w:t xml:space="preserve"> </w:t>
      </w:r>
      <w:r w:rsidR="00FB5B9E">
        <w:t>obtenida desde el conocimiento de la peculiaridad de su territorio</w:t>
      </w:r>
      <w:r w:rsidR="00675CAD">
        <w:t xml:space="preserve"> donde e</w:t>
      </w:r>
      <w:r w:rsidR="00E80A70">
        <w:t>l m</w:t>
      </w:r>
      <w:r w:rsidR="00705610">
        <w:t xml:space="preserve">obiliario </w:t>
      </w:r>
      <w:r w:rsidR="00675CAD">
        <w:t xml:space="preserve">urbano </w:t>
      </w:r>
      <w:r w:rsidR="00E80A70">
        <w:t xml:space="preserve">(fuentes, pozos, galerías subterráneas) </w:t>
      </w:r>
      <w:r w:rsidR="00705610">
        <w:t xml:space="preserve">nos </w:t>
      </w:r>
      <w:r w:rsidR="00675CAD">
        <w:t xml:space="preserve">ayuda a conocer y entender </w:t>
      </w:r>
      <w:r w:rsidR="00705610">
        <w:t xml:space="preserve">como </w:t>
      </w:r>
      <w:r w:rsidR="00675CAD">
        <w:t>se hizo y como se gestionó</w:t>
      </w:r>
      <w:r w:rsidR="00705610">
        <w:t>.</w:t>
      </w:r>
    </w:p>
    <w:p w14:paraId="75DA7551" w14:textId="77777777" w:rsidR="00C2628F" w:rsidRDefault="00C2628F" w:rsidP="00C2628F">
      <w:pPr>
        <w:pStyle w:val="Prrafodelista"/>
      </w:pPr>
    </w:p>
    <w:p w14:paraId="349C93AF" w14:textId="77777777" w:rsidR="00C2628F" w:rsidRDefault="00C2628F" w:rsidP="00C2628F">
      <w:pPr>
        <w:pStyle w:val="Prrafodelista"/>
      </w:pPr>
    </w:p>
    <w:p w14:paraId="301E0D11" w14:textId="0D69961F" w:rsidR="00EC0676" w:rsidRPr="00EC0676" w:rsidRDefault="00EC0676" w:rsidP="00A84B40">
      <w:pPr>
        <w:rPr>
          <w:b/>
          <w:bCs/>
        </w:rPr>
      </w:pPr>
      <w:r w:rsidRPr="00EC0676">
        <w:rPr>
          <w:b/>
          <w:bCs/>
        </w:rPr>
        <w:t>Jerez de la frontera</w:t>
      </w:r>
    </w:p>
    <w:p w14:paraId="26B0D457" w14:textId="2A8F9E2A" w:rsidR="00EC0676" w:rsidRDefault="00086C0A" w:rsidP="00A84B40">
      <w:r>
        <w:t>Privatización</w:t>
      </w:r>
      <w:r w:rsidR="00EC0676">
        <w:t xml:space="preserve"> agua en 2013.</w:t>
      </w:r>
    </w:p>
    <w:p w14:paraId="03136620" w14:textId="189F214A" w:rsidR="00EC0676" w:rsidRDefault="00EC0676" w:rsidP="00A84B40">
      <w:r>
        <w:t xml:space="preserve">Lucha o recuperación rio Guadalete. Recuperación del rio y uso </w:t>
      </w:r>
      <w:r w:rsidR="00086C0A">
        <w:t>público</w:t>
      </w:r>
      <w:r>
        <w:t>, Lucha de 30-40 años.</w:t>
      </w:r>
    </w:p>
    <w:p w14:paraId="7DCA4BCD" w14:textId="4EDDB6C8" w:rsidR="000F3AA5" w:rsidRDefault="00086C0A" w:rsidP="00A84B40">
      <w:r>
        <w:t>Depósito</w:t>
      </w:r>
      <w:r w:rsidR="00EC0676">
        <w:t xml:space="preserve"> de Tempul</w:t>
      </w:r>
      <w:r>
        <w:t>.</w:t>
      </w:r>
    </w:p>
    <w:p w14:paraId="462805E9" w14:textId="54C65D0B" w:rsidR="000F3AA5" w:rsidRDefault="000F3AA5" w:rsidP="00A84B40"/>
    <w:p w14:paraId="58EC3FB1" w14:textId="35C809A0" w:rsidR="00675CAD" w:rsidRDefault="00675CAD" w:rsidP="00A84B40">
      <w:pPr>
        <w:rPr>
          <w:b/>
          <w:bCs/>
        </w:rPr>
      </w:pPr>
      <w:r w:rsidRPr="00675CAD">
        <w:rPr>
          <w:b/>
          <w:bCs/>
        </w:rPr>
        <w:t>Sevilla</w:t>
      </w:r>
    </w:p>
    <w:p w14:paraId="56260A21" w14:textId="2D3BF8A8" w:rsidR="00DD1E79" w:rsidRDefault="00DD1E79" w:rsidP="00A84B40">
      <w:r w:rsidRPr="00DD1E79">
        <w:t>Aguadores en Sevilla y Quioscos del agua (patrimonio)</w:t>
      </w:r>
    </w:p>
    <w:p w14:paraId="70BF0518" w14:textId="112F43C9" w:rsidR="009925E3" w:rsidRPr="00DD1E79" w:rsidRDefault="009925E3" w:rsidP="00A84B40">
      <w:r>
        <w:t>Tenéis estos dos links con imágenes:</w:t>
      </w:r>
    </w:p>
    <w:p w14:paraId="35650D99" w14:textId="4DB155FF" w:rsidR="00DD1E79" w:rsidRDefault="00DD1E79" w:rsidP="00A84B40">
      <w:hyperlink r:id="rId8" w:anchor="imagen4" w:history="1">
        <w:r>
          <w:rPr>
            <w:rStyle w:val="Hipervnculo"/>
          </w:rPr>
          <w:t>Los quioscos del agua que inspiraron al autor de la portada de Feria de 2014 (abc.es)</w:t>
        </w:r>
      </w:hyperlink>
    </w:p>
    <w:p w14:paraId="533C070B" w14:textId="258FF3BF" w:rsidR="00DD1E79" w:rsidRDefault="00DD1E79" w:rsidP="00DD1E79">
      <w:pPr>
        <w:shd w:val="clear" w:color="auto" w:fill="FFFFFF"/>
        <w:spacing w:after="300" w:line="398" w:lineRule="atLeast"/>
        <w:jc w:val="both"/>
        <w:textAlignment w:val="baseline"/>
        <w:rPr>
          <w:rStyle w:val="Hipervnculo"/>
          <w:color w:val="auto"/>
        </w:rPr>
      </w:pPr>
      <w:hyperlink r:id="rId9" w:history="1">
        <w:r w:rsidRPr="00DD1E79">
          <w:rPr>
            <w:rStyle w:val="Hipervnculo"/>
            <w:color w:val="auto"/>
          </w:rPr>
          <w:t>AGUADORES DE SEVILLA (lasevillaquenov</w:t>
        </w:r>
        <w:r w:rsidRPr="00DD1E79">
          <w:rPr>
            <w:rStyle w:val="Hipervnculo"/>
            <w:color w:val="auto"/>
          </w:rPr>
          <w:t>e</w:t>
        </w:r>
        <w:r w:rsidRPr="00DD1E79">
          <w:rPr>
            <w:rStyle w:val="Hipervnculo"/>
            <w:color w:val="auto"/>
          </w:rPr>
          <w:t>mos.com)</w:t>
        </w:r>
      </w:hyperlink>
    </w:p>
    <w:p w14:paraId="1E86A135" w14:textId="77777777" w:rsidR="005654C4" w:rsidRPr="00DD1E79" w:rsidRDefault="005654C4" w:rsidP="00DD1E79">
      <w:pPr>
        <w:shd w:val="clear" w:color="auto" w:fill="FFFFFF"/>
        <w:spacing w:after="300" w:line="398" w:lineRule="atLeast"/>
        <w:jc w:val="both"/>
        <w:textAlignment w:val="baseline"/>
      </w:pPr>
    </w:p>
    <w:p w14:paraId="273CFBAB" w14:textId="77777777" w:rsidR="00DD1E79" w:rsidRPr="00675CAD" w:rsidRDefault="00DD1E79" w:rsidP="00A84B40">
      <w:pPr>
        <w:rPr>
          <w:b/>
          <w:bCs/>
        </w:rPr>
      </w:pPr>
    </w:p>
    <w:sectPr w:rsidR="00DD1E79" w:rsidRPr="0067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F9F9" w14:textId="77777777" w:rsidR="003E7B63" w:rsidRDefault="003E7B63" w:rsidP="00367050">
      <w:pPr>
        <w:spacing w:after="0" w:line="240" w:lineRule="auto"/>
      </w:pPr>
      <w:r>
        <w:separator/>
      </w:r>
    </w:p>
  </w:endnote>
  <w:endnote w:type="continuationSeparator" w:id="0">
    <w:p w14:paraId="722B2D0B" w14:textId="77777777" w:rsidR="003E7B63" w:rsidRDefault="003E7B63" w:rsidP="0036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FC89" w14:textId="77777777" w:rsidR="003E7B63" w:rsidRDefault="003E7B63" w:rsidP="00367050">
      <w:pPr>
        <w:spacing w:after="0" w:line="240" w:lineRule="auto"/>
      </w:pPr>
      <w:r>
        <w:separator/>
      </w:r>
    </w:p>
  </w:footnote>
  <w:footnote w:type="continuationSeparator" w:id="0">
    <w:p w14:paraId="2C33CEF7" w14:textId="77777777" w:rsidR="003E7B63" w:rsidRDefault="003E7B63" w:rsidP="00367050">
      <w:pPr>
        <w:spacing w:after="0" w:line="240" w:lineRule="auto"/>
      </w:pPr>
      <w:r>
        <w:continuationSeparator/>
      </w:r>
    </w:p>
  </w:footnote>
  <w:footnote w:id="1">
    <w:p w14:paraId="36BDA78C" w14:textId="26E29CC5" w:rsidR="00367050" w:rsidRDefault="00367050">
      <w:pPr>
        <w:pStyle w:val="Textonotapie"/>
      </w:pPr>
      <w:r>
        <w:rPr>
          <w:rStyle w:val="Refdenotaalpie"/>
        </w:rPr>
        <w:footnoteRef/>
      </w:r>
      <w:r>
        <w:t xml:space="preserve"> Hacia una gestión sostenible del agua en Avala</w:t>
      </w:r>
      <w:r w:rsidR="00616B36">
        <w:t>. Pedro Arrojo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79"/>
    <w:multiLevelType w:val="hybridMultilevel"/>
    <w:tmpl w:val="F0A0EB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807D5"/>
    <w:multiLevelType w:val="hybridMultilevel"/>
    <w:tmpl w:val="4FBC35DA"/>
    <w:lvl w:ilvl="0" w:tplc="8812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5E5F"/>
    <w:multiLevelType w:val="hybridMultilevel"/>
    <w:tmpl w:val="6494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339"/>
    <w:multiLevelType w:val="hybridMultilevel"/>
    <w:tmpl w:val="B61287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7385"/>
    <w:multiLevelType w:val="hybridMultilevel"/>
    <w:tmpl w:val="FB84C4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CAD"/>
    <w:multiLevelType w:val="hybridMultilevel"/>
    <w:tmpl w:val="91F27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13F8A"/>
    <w:multiLevelType w:val="hybridMultilevel"/>
    <w:tmpl w:val="B10A6142"/>
    <w:lvl w:ilvl="0" w:tplc="8812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C092B"/>
    <w:multiLevelType w:val="hybridMultilevel"/>
    <w:tmpl w:val="F49EF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83"/>
    <w:rsid w:val="0008508F"/>
    <w:rsid w:val="00086C0A"/>
    <w:rsid w:val="000B7263"/>
    <w:rsid w:val="000D2BC8"/>
    <w:rsid w:val="000F3AA5"/>
    <w:rsid w:val="001123F6"/>
    <w:rsid w:val="0014707D"/>
    <w:rsid w:val="00217383"/>
    <w:rsid w:val="002213EE"/>
    <w:rsid w:val="00283CA1"/>
    <w:rsid w:val="002E0E72"/>
    <w:rsid w:val="00367050"/>
    <w:rsid w:val="003E7B63"/>
    <w:rsid w:val="00457A0F"/>
    <w:rsid w:val="004C4969"/>
    <w:rsid w:val="00525990"/>
    <w:rsid w:val="005654C4"/>
    <w:rsid w:val="00616B36"/>
    <w:rsid w:val="0064429E"/>
    <w:rsid w:val="00657617"/>
    <w:rsid w:val="00675CAD"/>
    <w:rsid w:val="00705610"/>
    <w:rsid w:val="00811C82"/>
    <w:rsid w:val="009925E3"/>
    <w:rsid w:val="00A30700"/>
    <w:rsid w:val="00A84B40"/>
    <w:rsid w:val="00AA2A95"/>
    <w:rsid w:val="00B10A45"/>
    <w:rsid w:val="00B54261"/>
    <w:rsid w:val="00BA4BA2"/>
    <w:rsid w:val="00BF5D99"/>
    <w:rsid w:val="00C2628F"/>
    <w:rsid w:val="00C45E73"/>
    <w:rsid w:val="00C66EA6"/>
    <w:rsid w:val="00CF2399"/>
    <w:rsid w:val="00D03E48"/>
    <w:rsid w:val="00D81F52"/>
    <w:rsid w:val="00DD1E79"/>
    <w:rsid w:val="00DE7944"/>
    <w:rsid w:val="00E16120"/>
    <w:rsid w:val="00E80A70"/>
    <w:rsid w:val="00E971F9"/>
    <w:rsid w:val="00EC0676"/>
    <w:rsid w:val="00F4057C"/>
    <w:rsid w:val="00F70E44"/>
    <w:rsid w:val="00F86DED"/>
    <w:rsid w:val="00FB5B9E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46E"/>
  <w15:chartTrackingRefBased/>
  <w15:docId w15:val="{9700FA7F-3B50-4DE7-BA47-9EC18DE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38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70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70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705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28F"/>
    <w:rPr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DD1E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illa.abc.es/fotos-cultura/20130724/quioscos-agua-inspiraron-autor-1517472517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sevillaquenovemos.com/2016c/agu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7A1D-CD0A-4BFC-8DDE-F301844D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3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Vasquez</dc:creator>
  <cp:keywords/>
  <dc:description/>
  <cp:lastModifiedBy>Carolina Vasquez</cp:lastModifiedBy>
  <cp:revision>4</cp:revision>
  <dcterms:created xsi:type="dcterms:W3CDTF">2022-03-02T21:20:00Z</dcterms:created>
  <dcterms:modified xsi:type="dcterms:W3CDTF">2022-03-09T11:53:00Z</dcterms:modified>
</cp:coreProperties>
</file>